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A10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公文小标宋" w:hAnsi="方正公文小标宋" w:eastAsia="方正公文小标宋" w:cs="方正公文小标宋"/>
          <w:b/>
          <w:bCs/>
          <w:sz w:val="44"/>
          <w:szCs w:val="44"/>
          <w:lang w:val="en-US" w:eastAsia="zh-CN"/>
        </w:rPr>
      </w:pPr>
      <w:r>
        <w:rPr>
          <w:rFonts w:hint="eastAsia" w:ascii="方正公文小标宋" w:hAnsi="方正公文小标宋" w:eastAsia="方正公文小标宋" w:cs="方正公文小标宋"/>
          <w:b/>
          <w:bCs/>
          <w:sz w:val="44"/>
          <w:szCs w:val="44"/>
          <w:lang w:val="en-US" w:eastAsia="zh-CN"/>
        </w:rPr>
        <w:t>乐山市人民医院</w:t>
      </w:r>
    </w:p>
    <w:p w14:paraId="53C009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公文小标宋" w:hAnsi="方正公文小标宋" w:eastAsia="方正公文小标宋" w:cs="方正公文小标宋"/>
          <w:b/>
          <w:bCs/>
          <w:sz w:val="44"/>
          <w:szCs w:val="44"/>
          <w:lang w:val="en-US" w:eastAsia="zh-CN"/>
        </w:rPr>
      </w:pPr>
      <w:r>
        <w:rPr>
          <w:rFonts w:hint="eastAsia" w:ascii="方正公文小标宋" w:hAnsi="方正公文小标宋" w:eastAsia="方正公文小标宋" w:cs="方正公文小标宋"/>
          <w:b/>
          <w:bCs/>
          <w:sz w:val="44"/>
          <w:szCs w:val="44"/>
          <w:lang w:val="en-US" w:eastAsia="zh-CN"/>
        </w:rPr>
        <w:t>营养管理系统维保服务采购项目需求</w:t>
      </w:r>
    </w:p>
    <w:p w14:paraId="22BF743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val="en-US" w:eastAsia="zh-CN"/>
        </w:rPr>
      </w:pPr>
    </w:p>
    <w:p w14:paraId="2C59AA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i w:val="0"/>
          <w:iCs w:val="0"/>
          <w:caps w:val="0"/>
          <w:color w:val="000000"/>
          <w:spacing w:val="0"/>
          <w:sz w:val="28"/>
          <w:szCs w:val="28"/>
          <w:vertAlign w:val="baseline"/>
        </w:rPr>
      </w:pPr>
      <w:r>
        <w:rPr>
          <w:rFonts w:ascii="仿宋" w:hAnsi="仿宋" w:eastAsia="仿宋" w:cs="仿宋"/>
          <w:i w:val="0"/>
          <w:iCs w:val="0"/>
          <w:caps w:val="0"/>
          <w:color w:val="000000"/>
          <w:spacing w:val="0"/>
          <w:sz w:val="28"/>
          <w:szCs w:val="28"/>
          <w:vertAlign w:val="baseline"/>
        </w:rPr>
        <w:t>为保障乐山市人民医</w:t>
      </w:r>
      <w:r>
        <w:rPr>
          <w:rFonts w:hint="eastAsia" w:ascii="仿宋" w:hAnsi="仿宋" w:eastAsia="仿宋" w:cs="仿宋"/>
          <w:i w:val="0"/>
          <w:iCs w:val="0"/>
          <w:caps w:val="0"/>
          <w:color w:val="000000"/>
          <w:spacing w:val="0"/>
          <w:sz w:val="28"/>
          <w:szCs w:val="28"/>
          <w:vertAlign w:val="baseline"/>
          <w:lang w:val="en-US" w:eastAsia="zh-CN"/>
        </w:rPr>
        <w:t>院</w:t>
      </w:r>
      <w:bookmarkStart w:id="0" w:name="_GoBack"/>
      <w:bookmarkEnd w:id="0"/>
      <w:r>
        <w:rPr>
          <w:rFonts w:hint="eastAsia" w:ascii="仿宋" w:hAnsi="仿宋" w:eastAsia="仿宋" w:cs="仿宋"/>
          <w:i w:val="0"/>
          <w:iCs w:val="0"/>
          <w:caps w:val="0"/>
          <w:color w:val="000000"/>
          <w:spacing w:val="0"/>
          <w:sz w:val="28"/>
          <w:szCs w:val="28"/>
          <w:vertAlign w:val="baseline"/>
          <w:lang w:val="en-US" w:eastAsia="zh-CN"/>
        </w:rPr>
        <w:t>营养系统</w:t>
      </w:r>
      <w:r>
        <w:rPr>
          <w:rFonts w:hint="eastAsia" w:ascii="仿宋" w:hAnsi="仿宋" w:eastAsia="仿宋" w:cs="仿宋"/>
          <w:i w:val="0"/>
          <w:iCs w:val="0"/>
          <w:caps w:val="0"/>
          <w:color w:val="000000"/>
          <w:spacing w:val="0"/>
          <w:sz w:val="28"/>
          <w:szCs w:val="28"/>
          <w:vertAlign w:val="baseline"/>
        </w:rPr>
        <w:t>正常运行，我院拟对“</w:t>
      </w:r>
      <w:r>
        <w:rPr>
          <w:rFonts w:hint="eastAsia" w:ascii="仿宋" w:hAnsi="仿宋" w:eastAsia="仿宋" w:cs="仿宋"/>
          <w:i w:val="0"/>
          <w:iCs w:val="0"/>
          <w:caps w:val="0"/>
          <w:color w:val="000000"/>
          <w:spacing w:val="0"/>
          <w:sz w:val="28"/>
          <w:szCs w:val="28"/>
          <w:vertAlign w:val="baseline"/>
          <w:lang w:val="en-US" w:eastAsia="zh-CN"/>
        </w:rPr>
        <w:t>医院营养系统维保服务采购</w:t>
      </w:r>
      <w:r>
        <w:rPr>
          <w:rFonts w:hint="eastAsia" w:ascii="仿宋" w:hAnsi="仿宋" w:eastAsia="仿宋" w:cs="仿宋"/>
          <w:i w:val="0"/>
          <w:iCs w:val="0"/>
          <w:caps w:val="0"/>
          <w:color w:val="000000"/>
          <w:spacing w:val="0"/>
          <w:sz w:val="28"/>
          <w:szCs w:val="28"/>
          <w:vertAlign w:val="baseline"/>
        </w:rPr>
        <w:t>”项目进行市场调研，现将相关事宜公告如下。</w:t>
      </w:r>
    </w:p>
    <w:p w14:paraId="6C7778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i w:val="0"/>
          <w:iCs w:val="0"/>
          <w:caps w:val="0"/>
          <w:color w:val="000000"/>
          <w:spacing w:val="0"/>
          <w:sz w:val="28"/>
          <w:szCs w:val="28"/>
          <w:vertAlign w:val="baseline"/>
          <w:lang w:val="en-US" w:eastAsia="zh-CN"/>
        </w:rPr>
      </w:pPr>
      <w:r>
        <w:rPr>
          <w:rFonts w:hint="eastAsia" w:ascii="仿宋" w:hAnsi="仿宋" w:eastAsia="仿宋" w:cs="仿宋"/>
          <w:i w:val="0"/>
          <w:iCs w:val="0"/>
          <w:caps w:val="0"/>
          <w:color w:val="000000"/>
          <w:spacing w:val="0"/>
          <w:sz w:val="28"/>
          <w:szCs w:val="28"/>
          <w:vertAlign w:val="baseline"/>
          <w:lang w:val="en-US" w:eastAsia="zh-CN"/>
        </w:rPr>
        <w:t>服务年限：3年</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1500"/>
        <w:gridCol w:w="7585"/>
      </w:tblGrid>
      <w:tr w14:paraId="6021A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69" w:type="dxa"/>
            <w:vAlign w:val="center"/>
          </w:tcPr>
          <w:p w14:paraId="630CA9D1">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序号</w:t>
            </w:r>
          </w:p>
        </w:tc>
        <w:tc>
          <w:tcPr>
            <w:tcW w:w="1500" w:type="dxa"/>
            <w:vAlign w:val="center"/>
          </w:tcPr>
          <w:p w14:paraId="27909A23">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项目名称</w:t>
            </w:r>
          </w:p>
        </w:tc>
        <w:tc>
          <w:tcPr>
            <w:tcW w:w="7585" w:type="dxa"/>
            <w:vAlign w:val="center"/>
          </w:tcPr>
          <w:p w14:paraId="2D0E0CB7">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具体内容</w:t>
            </w:r>
          </w:p>
        </w:tc>
      </w:tr>
      <w:tr w14:paraId="2ABB7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769" w:type="dxa"/>
            <w:vAlign w:val="center"/>
          </w:tcPr>
          <w:p w14:paraId="1623185A">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1500" w:type="dxa"/>
            <w:vAlign w:val="center"/>
          </w:tcPr>
          <w:p w14:paraId="28768339">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技术支持</w:t>
            </w:r>
          </w:p>
        </w:tc>
        <w:tc>
          <w:tcPr>
            <w:tcW w:w="7585" w:type="dxa"/>
            <w:vAlign w:val="center"/>
          </w:tcPr>
          <w:p w14:paraId="2529E878">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一、通过向日葵、VPN等远程工具进行服务，保证营养科反馈的问题能够及时完成处理。在周末及节假日期间提供专人值班服务，保证周末及节假日为营养科提供各项服务：</w:t>
            </w:r>
          </w:p>
          <w:p w14:paraId="5606DE49">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1、通过远程的方式为医院相关使用人员解答系统功能使用、配置、设置方面的问题;</w:t>
            </w:r>
          </w:p>
          <w:p w14:paraId="22F4FE8D">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2、通过远程的方式为使用科室和信息科室解答业务数据方面相关问题，为精准的数据质量提供保障。</w:t>
            </w:r>
          </w:p>
          <w:p w14:paraId="260FCF12">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二、为使用科室提供咨询解答服务，保障院内日常营养诊疗工作的开展：</w:t>
            </w:r>
          </w:p>
          <w:p w14:paraId="5E6C7E66">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1、通过远程的方式为营养科提供解答系统在临床营养筛查、评估、干预、监测、数据统计、业务上报应用逻辑服务;</w:t>
            </w:r>
          </w:p>
          <w:p w14:paraId="50B7FB62">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2、通过远程的方式为营养科提供解答系统各统计界面及报表统计逻辑服务;</w:t>
            </w:r>
          </w:p>
          <w:p w14:paraId="4D6783E4">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3、通过远程的方式为医院相关使用人员提供系统各功能模块的功能讲解服务，保障使用人员对于系统功能的正常使用;</w:t>
            </w:r>
          </w:p>
          <w:p w14:paraId="6E96E017">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4、为营养科讲解各项营养诊疗相关业务，涵盖业务背景、流程、常见问题，结合临床规范的要求和诊疗能力提升的方向，提供专业化建议。</w:t>
            </w:r>
          </w:p>
          <w:p w14:paraId="78AA6F82">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三、提供系统数据核查、恢复及系统迁移服务：</w:t>
            </w:r>
          </w:p>
          <w:p w14:paraId="6D265CFC">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1、根据医院目前实际拥有的备份文件内容，在医院存在需求的情况下，对数据内容还原恢复至特定时间点，有效保证数据的完整性；</w:t>
            </w:r>
          </w:p>
          <w:p w14:paraId="7CC862B5">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2、根据医院的需求，对业务系统进行迁移部署，并完成系统调试工作，确保使用正常。</w:t>
            </w:r>
          </w:p>
          <w:p w14:paraId="6D42D7FB">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3、根据医院已有业务系统的情况提供数据质量校准方案，为营养诊疗工作提供准确的数据基础，保障营养诊疗工作的有效开展，确保医院数据的一致性和准确性。</w:t>
            </w:r>
          </w:p>
          <w:p w14:paraId="0C2AAA2F">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4、当医院NIS服务器出现宕机情况时，提供修复服务完成数据恢复及更新，确保系统功能正常运行。</w:t>
            </w:r>
          </w:p>
          <w:p w14:paraId="014E3CDE">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四、通过电话、一对一线上沟通、腾讯会议、录屏教程辅助等多元培训方式对临床营养医师或系统维护人员讲解系统功能应用及基础维护，保障人员对系统熟练使用和维护。</w:t>
            </w:r>
          </w:p>
          <w:p w14:paraId="65D999C6">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1、对营养科的营养医师进行系统日常使用和管理培训：</w:t>
            </w:r>
          </w:p>
          <w:p w14:paraId="6746A0AD">
            <w:pPr>
              <w:keepNext w:val="0"/>
              <w:keepLines w:val="0"/>
              <w:widowControl/>
              <w:suppressLineNumbers w:val="0"/>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1.1、业务流程方面，例如营养评估数据上传、干预方案记录、营养病例查询；</w:t>
            </w:r>
          </w:p>
          <w:p w14:paraId="5D726C9E">
            <w:pPr>
              <w:keepNext w:val="0"/>
              <w:keepLines w:val="0"/>
              <w:widowControl/>
              <w:suppressLineNumbers w:val="0"/>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1.2、结合系统讲解营养风险筛查、营养不良、特殊营养支持、膳食等相关指标；</w:t>
            </w:r>
          </w:p>
          <w:p w14:paraId="7E151769">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1.3、根据工作需求，例如针对多科室协作场景，推荐系统内营养会诊记录同步、跨科室营养数据共享功能的应用。</w:t>
            </w:r>
          </w:p>
          <w:p w14:paraId="32517843">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1.4、上级管理部门要求的医院管理数据进行上报。</w:t>
            </w:r>
          </w:p>
          <w:p w14:paraId="1C670182">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2、对信息科的维护人员进行系统基础维护和管理培训：</w:t>
            </w:r>
          </w:p>
          <w:p w14:paraId="2358C7A7">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2.1、提供管理员权限和新建账号功能；</w:t>
            </w:r>
          </w:p>
          <w:p w14:paraId="7F978DA6">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2.2、备份以及重启服务；</w:t>
            </w:r>
          </w:p>
          <w:p w14:paraId="65527693">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2.3、提供操作文档并按客户需求进行远程指导；</w:t>
            </w:r>
          </w:p>
          <w:p w14:paraId="10169ADA">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2.4、根据营养诊疗需求给到信息科相关整改建议。</w:t>
            </w:r>
          </w:p>
          <w:p w14:paraId="4967775C">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五、配合营养科营养医师进行各项检查及评审工作，提供以下支持：</w:t>
            </w:r>
          </w:p>
          <w:p w14:paraId="3AE96453">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1、支持提供等级评审营养诊疗相关具体要求和标准；</w:t>
            </w:r>
          </w:p>
          <w:p w14:paraId="5075525F">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2、支持提供等级医院评审营养诊疗相关条款解读；</w:t>
            </w:r>
          </w:p>
          <w:p w14:paraId="4A27E27E">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3、支持提供针对评审数据的核查工作，确保数据的准确性,完整性；</w:t>
            </w:r>
          </w:p>
          <w:p w14:paraId="58142124">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4、支持提供各类评审营养诊疗相关的应对检查方案；</w:t>
            </w:r>
          </w:p>
          <w:p w14:paraId="41D4A3CE">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5、根据评审结果，协助营养科制定改进计划和措施。</w:t>
            </w:r>
          </w:p>
          <w:p w14:paraId="4D49F1A3">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六、根据医院已有业务系统的情况提供数据质量校准方案，为临床营养诊疗工作提供准确的数据基础，保障临床营养诊疗工作的有效开展，确保医院数据的一致性和准确性。</w:t>
            </w:r>
          </w:p>
          <w:p w14:paraId="028AA593">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七、每年的每季度对营养系统服务器运行环境和服务器系统备份机制进行巡检，巡检内容包括：服务器内存情况、硬盘情况、系统运行稳定性评估等，并出具巡检报告，有效避免并解决：</w:t>
            </w:r>
          </w:p>
          <w:p w14:paraId="2D7857D7">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1、服务器磁盘空间不足问题</w:t>
            </w:r>
          </w:p>
          <w:p w14:paraId="76D842C1">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2、服务器系统运行卡顿问题</w:t>
            </w:r>
          </w:p>
          <w:p w14:paraId="2FBE1DAC">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3、服务器安全方面防护问题</w:t>
            </w:r>
          </w:p>
          <w:p w14:paraId="052B2E1D">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八、更新系统补丁，修复漏洞，增强安全性。</w:t>
            </w:r>
          </w:p>
        </w:tc>
      </w:tr>
      <w:tr w14:paraId="44193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8" w:hRule="atLeast"/>
        </w:trPr>
        <w:tc>
          <w:tcPr>
            <w:tcW w:w="769" w:type="dxa"/>
            <w:vAlign w:val="center"/>
          </w:tcPr>
          <w:p w14:paraId="5BFD5DB2">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1500" w:type="dxa"/>
            <w:vAlign w:val="center"/>
          </w:tcPr>
          <w:p w14:paraId="29AF8039">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现场服务</w:t>
            </w:r>
          </w:p>
        </w:tc>
        <w:tc>
          <w:tcPr>
            <w:tcW w:w="7585" w:type="dxa"/>
            <w:vAlign w:val="center"/>
          </w:tcPr>
          <w:p w14:paraId="748A2825">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安排工程师进行现场服务，并提供以下服务内容：</w:t>
            </w:r>
          </w:p>
          <w:p w14:paraId="4BA19ECF">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1、检查系统各功能模块运行情况，调查目前业务流程以及存在问题，业务需求收集、协助营养科利用系统开展各项营养诊疗相关工作，并提出专业化改进建议；</w:t>
            </w:r>
          </w:p>
          <w:p w14:paraId="32C21724">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2、检查营养系统的应用和数据服务器运行环境，包括：服务器内存情况、硬盘情况、系统运行稳定性评估等，并提供巡检报告；</w:t>
            </w:r>
          </w:p>
          <w:p w14:paraId="03926425">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3、数据准确性核查，数据备份情况确保系统稳定；</w:t>
            </w:r>
          </w:p>
          <w:p w14:paraId="375A6488">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4、对营养科的使用人员进行系统功能及应用讲解培训，对信息科的临床营养系统的维护人员进行系统基础维护培训。</w:t>
            </w:r>
          </w:p>
          <w:p w14:paraId="342B05D6">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5、根据医院实际需求，提供应急服务和重大事件现场保障服务，最大限度确保业务连续性及数据完整性。</w:t>
            </w:r>
          </w:p>
        </w:tc>
      </w:tr>
      <w:tr w14:paraId="71E55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9" w:hRule="atLeast"/>
        </w:trPr>
        <w:tc>
          <w:tcPr>
            <w:tcW w:w="769" w:type="dxa"/>
            <w:vAlign w:val="center"/>
          </w:tcPr>
          <w:p w14:paraId="07AA2C11">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1500" w:type="dxa"/>
            <w:vAlign w:val="center"/>
          </w:tcPr>
          <w:p w14:paraId="51604A68">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升级服务</w:t>
            </w:r>
          </w:p>
        </w:tc>
        <w:tc>
          <w:tcPr>
            <w:tcW w:w="7585" w:type="dxa"/>
            <w:vAlign w:val="center"/>
          </w:tcPr>
          <w:p w14:paraId="746FF894">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安排工程师进行升级服务（系统小版本升级），并提供以下服务内容：</w:t>
            </w:r>
          </w:p>
          <w:p w14:paraId="274F6073">
            <w:pPr>
              <w:numPr>
                <w:ilvl w:val="0"/>
                <w:numId w:val="1"/>
              </w:num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优化系统操作界面，确保系统响应快速、使用流畅；</w:t>
            </w:r>
          </w:p>
          <w:p w14:paraId="177137C8">
            <w:pPr>
              <w:numPr>
                <w:ilvl w:val="0"/>
                <w:numId w:val="1"/>
              </w:num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优化系统现有功能流程和配置，提升系统使用稳定性；</w:t>
            </w:r>
          </w:p>
          <w:p w14:paraId="6963EDE0">
            <w:pPr>
              <w:spacing w:line="360" w:lineRule="auto"/>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3、优化和维拉系统现有统计报表，提高科室工作效率；</w:t>
            </w:r>
          </w:p>
          <w:p w14:paraId="55151B69">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4、优化系统性能，及时删除冗余数据和历史业务数据的清理，提升查询效率；</w:t>
            </w:r>
          </w:p>
          <w:p w14:paraId="7D7E215B">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5、提供契合于国家最新营养诊疗规范和政策性修改。</w:t>
            </w:r>
          </w:p>
        </w:tc>
      </w:tr>
    </w:tbl>
    <w:p w14:paraId="55EF183A">
      <w:pPr>
        <w:rPr>
          <w:rFonts w:hint="eastAsia" w:eastAsiaTheme="minorEastAsia"/>
          <w:sz w:val="24"/>
          <w:szCs w:val="24"/>
          <w:lang w:val="en-US" w:eastAsia="zh-CN"/>
        </w:rPr>
      </w:pPr>
    </w:p>
    <w:sectPr>
      <w:pgSz w:w="11906" w:h="16838"/>
      <w:pgMar w:top="1417"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altName w:val="宋体"/>
    <w:panose1 w:val="02000500000000000000"/>
    <w:charset w:val="86"/>
    <w:family w:val="auto"/>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3D4BC"/>
    <w:multiLevelType w:val="singleLevel"/>
    <w:tmpl w:val="2F13D4B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A1AE2"/>
    <w:rsid w:val="149C1746"/>
    <w:rsid w:val="1BF077F7"/>
    <w:rsid w:val="41CC2F1C"/>
    <w:rsid w:val="561346BC"/>
    <w:rsid w:val="57684BF4"/>
    <w:rsid w:val="5A601E9A"/>
    <w:rsid w:val="5D7D1B1C"/>
    <w:rsid w:val="79CF0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1897</Words>
  <Characters>1917</Characters>
  <Lines>0</Lines>
  <Paragraphs>0</Paragraphs>
  <TotalTime>23</TotalTime>
  <ScaleCrop>false</ScaleCrop>
  <LinksUpToDate>false</LinksUpToDate>
  <CharactersWithSpaces>1917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2026-01-26T07:16:00Z</dcterms:created>
  <dc:creator>wincome</dc:creator>
  <cp:lastModifiedBy>上帝</cp:lastModifiedBy>
  <cp:lastPrinted>2026-02-25T06:28:30Z</cp:lastPrinted>
  <dcterms:modified xsi:type="dcterms:W3CDTF">2026-02-25T06:33:10Z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eyJoZGlkIjoiN2UzNGNkZWJlNjNjNjIyOTVhOWJlOTFkY2U0OTk4OWIiLCJ1c2VySWQiOiIzMTgxNzc0OTAifQ==</vt:lpwstr>
  </property>
  <property fmtid="{D5CDD505-2E9C-101B-9397-08002B2CF9AE}" pid="4" name="ICV">
    <vt:lpwstr>51771446E5B24211BA169640F9EC3466_13</vt:lpwstr>
  </property>
</Properties>
</file>